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DF7FBB" w:rsidRPr="00675224" w14:paraId="22A495A3" w14:textId="77777777" w:rsidTr="00B81A2B">
        <w:trPr>
          <w:trHeight w:val="284"/>
        </w:trPr>
        <w:tc>
          <w:tcPr>
            <w:tcW w:w="2689" w:type="dxa"/>
          </w:tcPr>
          <w:p w14:paraId="085E5335" w14:textId="3C9074C1" w:rsidR="00DF7FBB" w:rsidRPr="00675224" w:rsidRDefault="00DF7FBB" w:rsidP="00DF7FBB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25AAC06B" w14:textId="6C26A1C0" w:rsidR="00DF7FBB" w:rsidRPr="00675224" w:rsidRDefault="00DF7FBB" w:rsidP="00B81A2B">
            <w:pPr>
              <w:pStyle w:val="TableParagraph"/>
              <w:spacing w:line="240" w:lineRule="auto"/>
              <w:ind w:left="0" w:firstLine="147"/>
              <w:rPr>
                <w:sz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DF7FBB" w:rsidRPr="00675224" w14:paraId="46FFEDC6" w14:textId="77777777" w:rsidTr="00B81A2B">
        <w:trPr>
          <w:trHeight w:val="296"/>
        </w:trPr>
        <w:tc>
          <w:tcPr>
            <w:tcW w:w="2689" w:type="dxa"/>
          </w:tcPr>
          <w:p w14:paraId="1F0D585C" w14:textId="372CE616" w:rsidR="00DF7FBB" w:rsidRPr="00675224" w:rsidRDefault="00DF7FBB" w:rsidP="00DF7FBB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5E037DDA" w14:textId="65C7F8DF" w:rsidR="00DF7FBB" w:rsidRPr="00675224" w:rsidRDefault="00DF7FBB" w:rsidP="00B81A2B">
            <w:pPr>
              <w:pStyle w:val="TableParagraph"/>
              <w:spacing w:line="240" w:lineRule="auto"/>
              <w:ind w:left="0" w:firstLine="147"/>
              <w:rPr>
                <w:sz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DF7FBB" w:rsidRPr="00675224" w14:paraId="45E09C1F" w14:textId="77777777" w:rsidTr="00B81A2B">
        <w:trPr>
          <w:trHeight w:val="284"/>
        </w:trPr>
        <w:tc>
          <w:tcPr>
            <w:tcW w:w="2689" w:type="dxa"/>
          </w:tcPr>
          <w:p w14:paraId="6351915B" w14:textId="6ECEB61D" w:rsidR="00DF7FBB" w:rsidRPr="00675224" w:rsidRDefault="00DF7FBB" w:rsidP="00DF7FBB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4B423463" w14:textId="66CFC968" w:rsidR="00DF7FBB" w:rsidRPr="00675224" w:rsidRDefault="00DF7FBB" w:rsidP="00B81A2B">
            <w:pPr>
              <w:pStyle w:val="TableParagraph"/>
              <w:spacing w:line="240" w:lineRule="auto"/>
              <w:ind w:left="0" w:firstLine="147"/>
              <w:rPr>
                <w:sz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DF7FBB" w:rsidRPr="00675224" w14:paraId="0FE9D522" w14:textId="77777777" w:rsidTr="00B81A2B">
        <w:trPr>
          <w:trHeight w:val="280"/>
        </w:trPr>
        <w:tc>
          <w:tcPr>
            <w:tcW w:w="2689" w:type="dxa"/>
          </w:tcPr>
          <w:p w14:paraId="54D22927" w14:textId="486DBC0A" w:rsidR="00DF7FBB" w:rsidRPr="00675224" w:rsidRDefault="00DF7FBB" w:rsidP="00DF7FBB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1D81997B" w14:textId="3820B1E1" w:rsidR="00DF7FBB" w:rsidRPr="00675224" w:rsidRDefault="00DF7FBB" w:rsidP="00B81A2B">
            <w:pPr>
              <w:pStyle w:val="TableParagraph"/>
              <w:spacing w:line="240" w:lineRule="auto"/>
              <w:ind w:left="0" w:firstLine="147"/>
              <w:rPr>
                <w:sz w:val="18"/>
                <w:lang w:val="ro-RO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DF7FBB" w:rsidRPr="00B81A2B" w14:paraId="46DE2882" w14:textId="77777777" w:rsidTr="00B81A2B">
        <w:trPr>
          <w:trHeight w:val="282"/>
        </w:trPr>
        <w:tc>
          <w:tcPr>
            <w:tcW w:w="2689" w:type="dxa"/>
          </w:tcPr>
          <w:p w14:paraId="18A23DD7" w14:textId="248A6C5E" w:rsidR="00DF7FBB" w:rsidRPr="00675224" w:rsidRDefault="00DF7FBB" w:rsidP="00DF7FBB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232B1555" w14:textId="38ECEB1B" w:rsidR="00DF7FBB" w:rsidRPr="00675224" w:rsidRDefault="00DF7FBB" w:rsidP="00B81A2B">
            <w:pPr>
              <w:pStyle w:val="TableParagraph"/>
              <w:spacing w:line="240" w:lineRule="auto"/>
              <w:ind w:left="0" w:firstLine="147"/>
              <w:rPr>
                <w:sz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4C5D97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6BCFF3B8" w:rsidR="000017E7" w:rsidRPr="00DF7FBB" w:rsidRDefault="00DF7FBB" w:rsidP="00DF7FB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DF7FBB">
              <w:rPr>
                <w:b/>
                <w:bCs/>
                <w:sz w:val="20"/>
                <w:szCs w:val="24"/>
                <w:lang w:val="ro-RO"/>
              </w:rPr>
              <w:t>ANALIZĂ MATEMATICĂ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300938F9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53555299" w:rsidR="000017E7" w:rsidRPr="00675224" w:rsidRDefault="00EC7AC7" w:rsidP="00EC7AC7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0F4D97">
              <w:rPr>
                <w:sz w:val="18"/>
                <w:szCs w:val="2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53261E84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786D834B" w:rsidR="000017E7" w:rsidRPr="00EC7AC7" w:rsidRDefault="00C931ED" w:rsidP="00EC7AC7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0F4D97">
              <w:rPr>
                <w:b/>
                <w:bCs/>
                <w:sz w:val="18"/>
                <w:szCs w:val="2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4D834E95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16A8564" w:rsidR="000017E7" w:rsidRPr="00EC7AC7" w:rsidRDefault="00C931ED" w:rsidP="000F4D97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EC7AC7">
              <w:rPr>
                <w:b/>
                <w:bCs/>
                <w:w w:val="105"/>
                <w:sz w:val="18"/>
                <w:lang w:val="ro-RO"/>
              </w:rPr>
              <w:t>Examen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016B209" w:rsidR="000017E7" w:rsidRPr="00EC7AC7" w:rsidRDefault="00C931ED" w:rsidP="00EC7AC7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C7AC7">
              <w:rPr>
                <w:b/>
                <w:bCs/>
                <w:sz w:val="18"/>
                <w:lang w:val="ro-RO"/>
              </w:rPr>
              <w:t>DF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23C367D0" w:rsidR="000017E7" w:rsidRPr="00EC7AC7" w:rsidRDefault="00C931ED" w:rsidP="00EC7AC7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C7AC7"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A724F5C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0CA8BC32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0488223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1D5E1815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3A4257BB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80D9688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4D9BF146" w:rsidR="000017E7" w:rsidRPr="00675224" w:rsidRDefault="00C931ED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41</w:t>
            </w:r>
          </w:p>
        </w:tc>
      </w:tr>
      <w:tr w:rsidR="000017E7" w:rsidRPr="00B81A2B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1B63F718" w:rsidR="000017E7" w:rsidRPr="00C931ED" w:rsidRDefault="00C931ED" w:rsidP="00C931E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C931ED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190502B5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44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6D92B269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FD3685F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675224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0AC82F24" w:rsidR="000017E7" w:rsidRPr="00675224" w:rsidRDefault="00841273" w:rsidP="00C931ED">
            <w:pPr>
              <w:pStyle w:val="TableParagraph"/>
              <w:spacing w:line="219" w:lineRule="exact"/>
              <w:ind w:left="0"/>
              <w:rPr>
                <w:sz w:val="18"/>
                <w:lang w:val="ro-RO"/>
              </w:rPr>
            </w:pPr>
            <w:r w:rsidRPr="00841273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 xml:space="preserve">CP4 </w:t>
            </w:r>
            <w:r w:rsidR="00415D7A" w:rsidRPr="00415D7A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>Execută calcule matematice analitice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37E81C61" w14:textId="77777777" w:rsidR="000017E7" w:rsidRDefault="00415D7A" w:rsidP="004F5C00">
            <w:pPr>
              <w:tabs>
                <w:tab w:val="left" w:pos="442"/>
              </w:tabs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415D7A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>CT.2  Își asumă responsabilitatea</w:t>
            </w:r>
          </w:p>
          <w:p w14:paraId="6E9ECA35" w14:textId="77777777" w:rsidR="00415D7A" w:rsidRDefault="00415D7A" w:rsidP="004F5C00">
            <w:pPr>
              <w:tabs>
                <w:tab w:val="left" w:pos="442"/>
              </w:tabs>
              <w:rPr>
                <w:sz w:val="20"/>
                <w:szCs w:val="20"/>
                <w:lang w:val="ro-RO"/>
              </w:rPr>
            </w:pPr>
            <w:r w:rsidRPr="00415D7A">
              <w:rPr>
                <w:sz w:val="20"/>
                <w:szCs w:val="20"/>
                <w:lang w:val="ro-RO"/>
              </w:rPr>
              <w:t>CT.4.  Demonstrează alfabetizarea științifică</w:t>
            </w:r>
          </w:p>
          <w:p w14:paraId="46A18C43" w14:textId="34DCCD83" w:rsidR="00415D7A" w:rsidRPr="004F5C00" w:rsidRDefault="00415D7A" w:rsidP="004F5C00">
            <w:pPr>
              <w:tabs>
                <w:tab w:val="left" w:pos="442"/>
              </w:tabs>
              <w:rPr>
                <w:sz w:val="20"/>
                <w:szCs w:val="20"/>
                <w:lang w:val="ro-RO"/>
              </w:rPr>
            </w:pPr>
            <w:r w:rsidRPr="00415D7A">
              <w:rPr>
                <w:sz w:val="20"/>
                <w:szCs w:val="20"/>
                <w:lang w:val="ro-RO"/>
              </w:rPr>
              <w:t>CT.5.  Demonstrează abilitați de rezolvare a problemelor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675224" w14:paraId="2BBC8A4A" w14:textId="77777777" w:rsidTr="00E81962">
        <w:tc>
          <w:tcPr>
            <w:tcW w:w="3123" w:type="dxa"/>
            <w:vAlign w:val="center"/>
          </w:tcPr>
          <w:p w14:paraId="3D5E0E9A" w14:textId="77777777" w:rsidR="000017E7" w:rsidRDefault="00841273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1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841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identifică și descrie concepte, principii și metode de bază din matematică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284D677" w14:textId="762BAF95" w:rsidR="00415D7A" w:rsidRPr="00675224" w:rsidRDefault="00415D7A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explică și interpretează rezultate teoretice din matematică</w:t>
            </w:r>
          </w:p>
        </w:tc>
        <w:tc>
          <w:tcPr>
            <w:tcW w:w="2552" w:type="dxa"/>
            <w:vAlign w:val="center"/>
          </w:tcPr>
          <w:p w14:paraId="0523396E" w14:textId="77777777" w:rsidR="000017E7" w:rsidRDefault="00BC69C0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operează cu concepte, principii și metode de bază din matematică</w:t>
            </w:r>
          </w:p>
          <w:p w14:paraId="4D246F9E" w14:textId="66E4F64F" w:rsidR="00BC69C0" w:rsidRPr="00675224" w:rsidRDefault="00BC69C0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rezolvă probleme de matematică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 aplicabilitate în inginerie și validează soluția obținută</w:t>
            </w:r>
          </w:p>
        </w:tc>
        <w:tc>
          <w:tcPr>
            <w:tcW w:w="3959" w:type="dxa"/>
            <w:vAlign w:val="center"/>
          </w:tcPr>
          <w:p w14:paraId="09DAD8D1" w14:textId="72F95597" w:rsidR="000017E7" w:rsidRPr="00675224" w:rsidRDefault="00976E32" w:rsidP="00976E3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practică raționamentul logic, evaluarea și autoevaluare în luarea deciziilor.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este angajat în învățarea pe tot parcursul vieții pentru dobândirea și implementarea cunoștințelor, după cum este necesar, folosind strategii de învățare adecvate.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aplică valorile eticii și deontologiei profesiei de inginer.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B81A2B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2A6F891" w:rsidR="000017E7" w:rsidRPr="00675224" w:rsidRDefault="00BC69C0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Dezvoltarea abilităţilor de a aplica corect cunoştinţele acumulate pentru rezolvarea diferitelor clase de probleme.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017E7" w:rsidRPr="00675224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54CAB4BD" w:rsidR="000017E7" w:rsidRPr="00675224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>1. Prezentarea obiectivelor cursului</w:t>
            </w:r>
            <w:r w:rsidRPr="00D5121D">
              <w:rPr>
                <w:color w:val="000000"/>
                <w:sz w:val="20"/>
                <w:szCs w:val="20"/>
                <w:lang w:val="ro-RO"/>
              </w:rPr>
              <w:t>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</w:tcPr>
          <w:p w14:paraId="50692960" w14:textId="633A2DFE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1</w:t>
            </w:r>
          </w:p>
        </w:tc>
        <w:tc>
          <w:tcPr>
            <w:tcW w:w="1872" w:type="dxa"/>
          </w:tcPr>
          <w:p w14:paraId="6D653904" w14:textId="708023BF" w:rsidR="000017E7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Instruire, expunere, conversație</w:t>
            </w:r>
          </w:p>
        </w:tc>
        <w:tc>
          <w:tcPr>
            <w:tcW w:w="2053" w:type="dxa"/>
          </w:tcPr>
          <w:p w14:paraId="5F4932EE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B81A2B" w14:paraId="2B94C069" w14:textId="77777777" w:rsidTr="00BC69C0">
        <w:trPr>
          <w:trHeight w:val="230"/>
        </w:trPr>
        <w:tc>
          <w:tcPr>
            <w:tcW w:w="4957" w:type="dxa"/>
          </w:tcPr>
          <w:p w14:paraId="797B6DE4" w14:textId="4884035B" w:rsidR="00BC69C0" w:rsidRPr="00BC69C0" w:rsidRDefault="00BC69C0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 xml:space="preserve">2. 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>Serii numerice şi serii de puteri</w:t>
            </w:r>
          </w:p>
          <w:p w14:paraId="5B0B2B1B" w14:textId="3884AA02" w:rsidR="00BC69C0" w:rsidRPr="00BC69C0" w:rsidRDefault="00BC69C0" w:rsidP="00BC69C0">
            <w:pPr>
              <w:rPr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lastRenderedPageBreak/>
              <w:t>Serii numerice cu termeni pozitivi.</w:t>
            </w:r>
            <w:r>
              <w:rPr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Serii numerice alternante şi serii absolut convergente.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Serii de puteri</w:t>
            </w:r>
          </w:p>
        </w:tc>
        <w:tc>
          <w:tcPr>
            <w:tcW w:w="752" w:type="dxa"/>
          </w:tcPr>
          <w:p w14:paraId="568183BF" w14:textId="0A3BB439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lastRenderedPageBreak/>
              <w:t>3</w:t>
            </w:r>
          </w:p>
        </w:tc>
        <w:tc>
          <w:tcPr>
            <w:tcW w:w="1872" w:type="dxa"/>
            <w:vMerge w:val="restart"/>
            <w:vAlign w:val="center"/>
          </w:tcPr>
          <w:p w14:paraId="41A82787" w14:textId="1146D3F9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 xml:space="preserve">Prelegerea </w:t>
            </w:r>
            <w:r w:rsidRPr="00D5121D">
              <w:rPr>
                <w:sz w:val="20"/>
                <w:szCs w:val="20"/>
                <w:lang w:val="ro-RO"/>
              </w:rPr>
              <w:lastRenderedPageBreak/>
              <w:t>participativă, dezbaterea, expunerea, problematizarea, demonstraţia</w:t>
            </w:r>
          </w:p>
        </w:tc>
        <w:tc>
          <w:tcPr>
            <w:tcW w:w="2053" w:type="dxa"/>
          </w:tcPr>
          <w:p w14:paraId="6B014A8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30C95B1F" w14:textId="77777777" w:rsidTr="00E81962">
        <w:trPr>
          <w:trHeight w:val="228"/>
        </w:trPr>
        <w:tc>
          <w:tcPr>
            <w:tcW w:w="4957" w:type="dxa"/>
          </w:tcPr>
          <w:p w14:paraId="11335FB0" w14:textId="377F2B41" w:rsidR="00BC69C0" w:rsidRPr="00D5121D" w:rsidRDefault="00BC69C0" w:rsidP="00BC69C0">
            <w:pPr>
              <w:rPr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3. Funcţii de mai multe variabile reale – Derivate parțiale</w:t>
            </w:r>
          </w:p>
          <w:p w14:paraId="04A64BCC" w14:textId="56DEB1C1" w:rsidR="00BC69C0" w:rsidRPr="00BC69C0" w:rsidRDefault="00BC69C0" w:rsidP="00BC69C0">
            <w:pPr>
              <w:rPr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Derivatele parţiale de ordinul întâi ale unei funcţii reale de mai multe variabile reale.Derivate parţiale de ordin superior ale unei funcţii reale de mai multe variabile reale.</w:t>
            </w:r>
          </w:p>
        </w:tc>
        <w:tc>
          <w:tcPr>
            <w:tcW w:w="752" w:type="dxa"/>
          </w:tcPr>
          <w:p w14:paraId="7AB687CE" w14:textId="38562157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4784DA9A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2076230D" w14:textId="77777777" w:rsidTr="00E81962">
        <w:trPr>
          <w:trHeight w:val="228"/>
        </w:trPr>
        <w:tc>
          <w:tcPr>
            <w:tcW w:w="4957" w:type="dxa"/>
          </w:tcPr>
          <w:p w14:paraId="6732DC9F" w14:textId="4B294AE9" w:rsidR="00BC69C0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4.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Funcţii de mai multe variabile reale – D</w:t>
            </w:r>
            <w:r>
              <w:rPr>
                <w:b/>
                <w:bCs/>
                <w:sz w:val="20"/>
                <w:szCs w:val="20"/>
                <w:lang w:val="ro-RO"/>
              </w:rPr>
              <w:t>iferențiala</w:t>
            </w:r>
          </w:p>
          <w:p w14:paraId="23335A0F" w14:textId="464EC34B" w:rsidR="00BC69C0" w:rsidRPr="00BC69C0" w:rsidRDefault="00BC69C0" w:rsidP="00BC69C0">
            <w:pPr>
              <w:rPr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Diferenţiala de ordinul întâi pentru funcţii reale de mai multe variabile reale.Diferenţiale de ordin superior ale unei funcţii reale de mai multe variabile reale.</w:t>
            </w:r>
          </w:p>
        </w:tc>
        <w:tc>
          <w:tcPr>
            <w:tcW w:w="752" w:type="dxa"/>
          </w:tcPr>
          <w:p w14:paraId="0412BB63" w14:textId="56A6F20E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5DAB740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58EC05B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1FDABDC3" w14:textId="77777777" w:rsidTr="00E81962">
        <w:trPr>
          <w:trHeight w:val="228"/>
        </w:trPr>
        <w:tc>
          <w:tcPr>
            <w:tcW w:w="4957" w:type="dxa"/>
          </w:tcPr>
          <w:p w14:paraId="16AB2F1A" w14:textId="77777777" w:rsidR="00BC69C0" w:rsidRPr="00BC69C0" w:rsidRDefault="00BC69C0" w:rsidP="00BC69C0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5. Formula lui Taylor</w:t>
            </w:r>
          </w:p>
          <w:p w14:paraId="7811F314" w14:textId="539001D0" w:rsidR="00BC69C0" w:rsidRPr="00675224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Formula lui Taylor pentru o funcţie reală de mai multe variabile reale. Aproximarea funcţii</w:t>
            </w:r>
            <w:r>
              <w:rPr>
                <w:sz w:val="20"/>
                <w:szCs w:val="20"/>
                <w:lang w:val="ro-RO"/>
              </w:rPr>
              <w:t>lor</w:t>
            </w:r>
            <w:r w:rsidRPr="00D5121D">
              <w:rPr>
                <w:sz w:val="20"/>
                <w:szCs w:val="20"/>
                <w:lang w:val="ro-RO"/>
              </w:rPr>
              <w:t xml:space="preserve"> prin polinom Taylor.</w:t>
            </w:r>
          </w:p>
        </w:tc>
        <w:tc>
          <w:tcPr>
            <w:tcW w:w="752" w:type="dxa"/>
          </w:tcPr>
          <w:p w14:paraId="63A74F4F" w14:textId="56A26CE4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249A6C1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3312810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25948A77" w14:textId="77777777" w:rsidTr="00E81962">
        <w:trPr>
          <w:trHeight w:val="228"/>
        </w:trPr>
        <w:tc>
          <w:tcPr>
            <w:tcW w:w="4957" w:type="dxa"/>
          </w:tcPr>
          <w:p w14:paraId="4B4CEEF6" w14:textId="22C9D505" w:rsidR="00BC69C0" w:rsidRPr="00BC69C0" w:rsidRDefault="00BC69C0" w:rsidP="00BC69C0">
            <w:pPr>
              <w:rPr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6.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Puncte de extrem şi extreme condiţionate</w:t>
            </w:r>
            <w:r w:rsidRPr="00D5121D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pentru</w:t>
            </w:r>
            <w:r w:rsidRPr="00D5121D">
              <w:rPr>
                <w:sz w:val="20"/>
                <w:szCs w:val="20"/>
                <w:lang w:val="ro-RO"/>
              </w:rPr>
              <w:t xml:space="preserve"> funcţii de mai multe variabile reale. Gradient. Divergenţă. Rotor.</w:t>
            </w:r>
          </w:p>
        </w:tc>
        <w:tc>
          <w:tcPr>
            <w:tcW w:w="752" w:type="dxa"/>
          </w:tcPr>
          <w:p w14:paraId="6178232A" w14:textId="33FDDF62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58E9ED41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213FBF24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2BE32A69" w14:textId="77777777" w:rsidTr="00E81962">
        <w:trPr>
          <w:trHeight w:val="228"/>
        </w:trPr>
        <w:tc>
          <w:tcPr>
            <w:tcW w:w="4957" w:type="dxa"/>
          </w:tcPr>
          <w:p w14:paraId="7FE871E0" w14:textId="0CC417C2" w:rsidR="00BC69C0" w:rsidRPr="00BC69C0" w:rsidRDefault="00BC69C0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7. Ecuaţii diferenţiale de ordinul unu</w:t>
            </w:r>
          </w:p>
          <w:p w14:paraId="0290A1DA" w14:textId="33F2EA09" w:rsidR="00BC69C0" w:rsidRPr="00BC69C0" w:rsidRDefault="00BC69C0" w:rsidP="00BC69C0">
            <w:pPr>
              <w:rPr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Ecuaţii diferenţiale ordinare. Ecuaţii diferenţiale cu variabile separabile.</w:t>
            </w:r>
            <w:r>
              <w:rPr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Ecuaţii diferenţiale de ordinul I liniare.</w:t>
            </w:r>
          </w:p>
        </w:tc>
        <w:tc>
          <w:tcPr>
            <w:tcW w:w="752" w:type="dxa"/>
          </w:tcPr>
          <w:p w14:paraId="019DD7DB" w14:textId="0909350A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1F6E8DC2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F41017E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57249010" w14:textId="77777777" w:rsidTr="00E81962">
        <w:trPr>
          <w:trHeight w:val="228"/>
        </w:trPr>
        <w:tc>
          <w:tcPr>
            <w:tcW w:w="4957" w:type="dxa"/>
          </w:tcPr>
          <w:p w14:paraId="08148A43" w14:textId="5E01D8EC" w:rsidR="00BC69C0" w:rsidRPr="00675224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8. Ecuaţii diferenţiale de ordin superior</w:t>
            </w:r>
            <w:r w:rsidRPr="00D5121D">
              <w:rPr>
                <w:sz w:val="20"/>
                <w:szCs w:val="20"/>
                <w:lang w:val="ro-RO"/>
              </w:rPr>
              <w:t>, liniare, cu coeficienţi constanţi omogene și neomogene.</w:t>
            </w:r>
          </w:p>
        </w:tc>
        <w:tc>
          <w:tcPr>
            <w:tcW w:w="752" w:type="dxa"/>
          </w:tcPr>
          <w:p w14:paraId="1708E4C4" w14:textId="07EBB486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4B3CDE10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91FE1C1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4829B89C" w14:textId="77777777" w:rsidTr="00E81962">
        <w:trPr>
          <w:trHeight w:val="228"/>
        </w:trPr>
        <w:tc>
          <w:tcPr>
            <w:tcW w:w="4957" w:type="dxa"/>
          </w:tcPr>
          <w:p w14:paraId="70C37D53" w14:textId="17ED1E04" w:rsidR="00BC69C0" w:rsidRPr="00BC69C0" w:rsidRDefault="00BC69C0" w:rsidP="00BC69C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9. Calcul integral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(1)</w:t>
            </w:r>
          </w:p>
          <w:p w14:paraId="5B55CC42" w14:textId="7548C85A" w:rsidR="00BC69C0" w:rsidRPr="00BC69C0" w:rsidRDefault="00BC69C0" w:rsidP="00BC69C0">
            <w:pPr>
              <w:rPr>
                <w:sz w:val="20"/>
                <w:szCs w:val="20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Integrale cu parametru. Integrale improprii.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Integrale curbilinii.</w:t>
            </w:r>
          </w:p>
        </w:tc>
        <w:tc>
          <w:tcPr>
            <w:tcW w:w="752" w:type="dxa"/>
          </w:tcPr>
          <w:p w14:paraId="0589F2EC" w14:textId="043B22BB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1838ED47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AF37058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6B2656CA" w14:textId="77777777" w:rsidTr="00E81962">
        <w:trPr>
          <w:trHeight w:val="228"/>
        </w:trPr>
        <w:tc>
          <w:tcPr>
            <w:tcW w:w="4957" w:type="dxa"/>
          </w:tcPr>
          <w:p w14:paraId="02810765" w14:textId="32556BA9" w:rsidR="00BC69C0" w:rsidRPr="00BC69C0" w:rsidRDefault="00BC69C0" w:rsidP="00BC69C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10. Calcul integral (2)</w:t>
            </w:r>
          </w:p>
          <w:p w14:paraId="23BECF37" w14:textId="36D4A147" w:rsidR="00BC69C0" w:rsidRPr="00BC69C0" w:rsidRDefault="00BC69C0" w:rsidP="00BC69C0">
            <w:pPr>
              <w:rPr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Integrale duble. Integrale triple.Formule integrale</w:t>
            </w:r>
          </w:p>
        </w:tc>
        <w:tc>
          <w:tcPr>
            <w:tcW w:w="752" w:type="dxa"/>
          </w:tcPr>
          <w:p w14:paraId="6A203AEF" w14:textId="163BEA00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7181C760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ACAA4F0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B81A2B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9417C0A" w14:textId="77777777" w:rsidR="00E35097" w:rsidRPr="00E35097" w:rsidRDefault="00BC69C0" w:rsidP="00E350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D5121D">
              <w:rPr>
                <w:i/>
                <w:sz w:val="20"/>
                <w:szCs w:val="20"/>
                <w:lang w:val="ro-RO"/>
              </w:rPr>
              <w:t>Miculescu,R</w:t>
            </w:r>
            <w:r w:rsidRPr="00D5121D">
              <w:rPr>
                <w:sz w:val="20"/>
                <w:szCs w:val="20"/>
                <w:lang w:val="ro-RO"/>
              </w:rPr>
              <w:t xml:space="preserve"> – Analiză matematică. Note de curs, Pro Universitaria, 2017</w:t>
            </w:r>
          </w:p>
          <w:p w14:paraId="106AF8E8" w14:textId="2EF572CA" w:rsidR="000017E7" w:rsidRPr="00E35097" w:rsidRDefault="00BC69C0" w:rsidP="00E350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E35097">
              <w:rPr>
                <w:i/>
                <w:sz w:val="20"/>
                <w:szCs w:val="20"/>
                <w:lang w:val="ro-RO"/>
              </w:rPr>
              <w:t>Nicolescu,M</w:t>
            </w:r>
            <w:r w:rsidRPr="00E35097">
              <w:rPr>
                <w:sz w:val="20"/>
                <w:szCs w:val="20"/>
                <w:lang w:val="ro-RO"/>
              </w:rPr>
              <w:t xml:space="preserve"> – Analiză matematică, EDP,Buc.,1971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BC69C0" w:rsidRPr="00675224" w14:paraId="288D8970" w14:textId="77777777" w:rsidTr="00E81962">
        <w:trPr>
          <w:trHeight w:val="228"/>
        </w:trPr>
        <w:tc>
          <w:tcPr>
            <w:tcW w:w="4957" w:type="dxa"/>
          </w:tcPr>
          <w:p w14:paraId="7708C935" w14:textId="77777777" w:rsidR="00BC69C0" w:rsidRDefault="00BC69C0" w:rsidP="00BC69C0">
            <w:pPr>
              <w:pStyle w:val="TableParagraph"/>
              <w:spacing w:line="209" w:lineRule="exact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1. Prezentarea obiectivelor 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seminar</w:t>
            </w: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>ului</w:t>
            </w:r>
            <w:r w:rsidRPr="00D5121D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0AC82266" w14:textId="190BDC22" w:rsidR="00BC69C0" w:rsidRPr="00675224" w:rsidRDefault="00BC69C0" w:rsidP="00BC69C0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Familiarizarea studenţilor cu conţinutul seminarului, prezentarea bibliografiei pentru seminar, prezentarea unor detalii organizatorice</w:t>
            </w:r>
          </w:p>
        </w:tc>
        <w:tc>
          <w:tcPr>
            <w:tcW w:w="789" w:type="dxa"/>
          </w:tcPr>
          <w:p w14:paraId="3ADC5B67" w14:textId="71CA0C55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1</w:t>
            </w:r>
          </w:p>
        </w:tc>
        <w:tc>
          <w:tcPr>
            <w:tcW w:w="1870" w:type="dxa"/>
          </w:tcPr>
          <w:p w14:paraId="32AB48AC" w14:textId="78141C94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Instruire, expunere, conversație</w:t>
            </w:r>
          </w:p>
        </w:tc>
        <w:tc>
          <w:tcPr>
            <w:tcW w:w="2018" w:type="dxa"/>
          </w:tcPr>
          <w:p w14:paraId="700FC88C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B81A2B" w14:paraId="1F1F2056" w14:textId="77777777" w:rsidTr="00752E78">
        <w:trPr>
          <w:trHeight w:val="228"/>
        </w:trPr>
        <w:tc>
          <w:tcPr>
            <w:tcW w:w="4957" w:type="dxa"/>
          </w:tcPr>
          <w:p w14:paraId="6F481A6D" w14:textId="77777777" w:rsidR="00BC69C0" w:rsidRPr="00BC69C0" w:rsidRDefault="00BC69C0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 xml:space="preserve">2. 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>Serii numerice şi serii de puteri</w:t>
            </w:r>
          </w:p>
          <w:p w14:paraId="58DE5ACA" w14:textId="3C2ACA0C" w:rsidR="00BC69C0" w:rsidRPr="00675224" w:rsidRDefault="00BC69C0" w:rsidP="00BC69C0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Serii numerice cu termeni pozitivi.</w:t>
            </w:r>
            <w:r>
              <w:rPr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Serii numerice alternante şi serii absolut convergente.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Serii de puteri</w:t>
            </w:r>
          </w:p>
        </w:tc>
        <w:tc>
          <w:tcPr>
            <w:tcW w:w="789" w:type="dxa"/>
          </w:tcPr>
          <w:p w14:paraId="654DCDB3" w14:textId="50961157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3</w:t>
            </w:r>
          </w:p>
        </w:tc>
        <w:tc>
          <w:tcPr>
            <w:tcW w:w="1870" w:type="dxa"/>
            <w:vMerge w:val="restart"/>
            <w:vAlign w:val="center"/>
          </w:tcPr>
          <w:p w14:paraId="74D92F74" w14:textId="3699540D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Prelegerea participativă, dezbaterea, expunerea, problematizarea, demonstraţia</w:t>
            </w:r>
          </w:p>
        </w:tc>
        <w:tc>
          <w:tcPr>
            <w:tcW w:w="2018" w:type="dxa"/>
          </w:tcPr>
          <w:p w14:paraId="4AFE76C4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0812C697" w14:textId="77777777" w:rsidTr="00E81962">
        <w:trPr>
          <w:trHeight w:val="230"/>
        </w:trPr>
        <w:tc>
          <w:tcPr>
            <w:tcW w:w="4957" w:type="dxa"/>
          </w:tcPr>
          <w:p w14:paraId="28240E6C" w14:textId="77777777" w:rsidR="00BC69C0" w:rsidRPr="00D5121D" w:rsidRDefault="00BC69C0" w:rsidP="00BC69C0">
            <w:pPr>
              <w:rPr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3. Funcţii de mai multe variabile reale – Derivate parțiale</w:t>
            </w:r>
          </w:p>
          <w:p w14:paraId="082842A3" w14:textId="0A4A1A95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Derivatele parţiale de ordinul întâi ale unei funcţii reale de mai multe variabile reale.Derivate parţiale de ordin superior ale unei funcţii reale de mai multe variabile reale.</w:t>
            </w:r>
          </w:p>
        </w:tc>
        <w:tc>
          <w:tcPr>
            <w:tcW w:w="789" w:type="dxa"/>
          </w:tcPr>
          <w:p w14:paraId="0B910DF5" w14:textId="57EA7555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6D11FF5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FC3DD6F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74FF9ACB" w14:textId="77777777" w:rsidTr="00E81962">
        <w:trPr>
          <w:trHeight w:val="230"/>
        </w:trPr>
        <w:tc>
          <w:tcPr>
            <w:tcW w:w="4957" w:type="dxa"/>
          </w:tcPr>
          <w:p w14:paraId="58A4285A" w14:textId="77777777" w:rsidR="00BC69C0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4.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Funcţii de mai multe variabile reale – D</w:t>
            </w:r>
            <w:r>
              <w:rPr>
                <w:b/>
                <w:bCs/>
                <w:sz w:val="20"/>
                <w:szCs w:val="20"/>
                <w:lang w:val="ro-RO"/>
              </w:rPr>
              <w:t>iferențiala</w:t>
            </w:r>
          </w:p>
          <w:p w14:paraId="798F6333" w14:textId="2CACE2CF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Diferenţiala de ordinul întâi pentru funcţii reale de mai multe variabile reale.Diferenţiale de ordin superior ale unei funcţii reale de mai multe variabile reale.</w:t>
            </w:r>
          </w:p>
        </w:tc>
        <w:tc>
          <w:tcPr>
            <w:tcW w:w="789" w:type="dxa"/>
          </w:tcPr>
          <w:p w14:paraId="0CDDA2A0" w14:textId="7F85D811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2DB49AC9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04A2CF84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416F6333" w14:textId="77777777" w:rsidTr="00E81962">
        <w:trPr>
          <w:trHeight w:val="230"/>
        </w:trPr>
        <w:tc>
          <w:tcPr>
            <w:tcW w:w="4957" w:type="dxa"/>
          </w:tcPr>
          <w:p w14:paraId="4CBEFF35" w14:textId="77777777" w:rsidR="00BC69C0" w:rsidRPr="00BC69C0" w:rsidRDefault="00BC69C0" w:rsidP="00BC69C0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5. Formula lui Taylor</w:t>
            </w:r>
          </w:p>
          <w:p w14:paraId="5644BF6D" w14:textId="565177FC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Formula lui Taylor pentru o funcţie reală de mai multe variabile reale. Aproximarea funcţii</w:t>
            </w:r>
            <w:r>
              <w:rPr>
                <w:sz w:val="20"/>
                <w:szCs w:val="20"/>
                <w:lang w:val="ro-RO"/>
              </w:rPr>
              <w:t>lor</w:t>
            </w:r>
            <w:r w:rsidRPr="00D5121D">
              <w:rPr>
                <w:sz w:val="20"/>
                <w:szCs w:val="20"/>
                <w:lang w:val="ro-RO"/>
              </w:rPr>
              <w:t xml:space="preserve"> prin polinom Taylor.</w:t>
            </w:r>
          </w:p>
        </w:tc>
        <w:tc>
          <w:tcPr>
            <w:tcW w:w="789" w:type="dxa"/>
          </w:tcPr>
          <w:p w14:paraId="2670A864" w14:textId="0E74CF53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4AF8DE77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87B68C7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4E7CA58A" w14:textId="77777777" w:rsidTr="00E81962">
        <w:trPr>
          <w:trHeight w:val="230"/>
        </w:trPr>
        <w:tc>
          <w:tcPr>
            <w:tcW w:w="4957" w:type="dxa"/>
          </w:tcPr>
          <w:p w14:paraId="71AE1F5D" w14:textId="32424F49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6.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Puncte de extrem şi extreme condiţionate</w:t>
            </w:r>
            <w:r w:rsidRPr="00D5121D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pentru</w:t>
            </w:r>
            <w:r w:rsidRPr="00D5121D">
              <w:rPr>
                <w:sz w:val="20"/>
                <w:szCs w:val="20"/>
                <w:lang w:val="ro-RO"/>
              </w:rPr>
              <w:t xml:space="preserve"> funcţii de mai multe variabile reale. Gradient. Divergenţă. Rotor.</w:t>
            </w:r>
          </w:p>
        </w:tc>
        <w:tc>
          <w:tcPr>
            <w:tcW w:w="789" w:type="dxa"/>
          </w:tcPr>
          <w:p w14:paraId="3FF63071" w14:textId="34E87CD6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62AD2A0D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8332E1C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63F92ADA" w14:textId="77777777" w:rsidTr="00E81962">
        <w:trPr>
          <w:trHeight w:val="230"/>
        </w:trPr>
        <w:tc>
          <w:tcPr>
            <w:tcW w:w="4957" w:type="dxa"/>
          </w:tcPr>
          <w:p w14:paraId="5609E4FF" w14:textId="77777777" w:rsidR="00BC69C0" w:rsidRPr="00BC69C0" w:rsidRDefault="00BC69C0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7. Ecuaţii diferenţiale de ordinul unu</w:t>
            </w:r>
          </w:p>
          <w:p w14:paraId="4E947569" w14:textId="54A300DF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Ecuaţii diferenţiale ordinare. Ecuaţii diferenţiale cu variabile separabile.</w:t>
            </w:r>
            <w:r>
              <w:rPr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Ecuaţii diferenţiale de ordinul I liniare.</w:t>
            </w:r>
          </w:p>
        </w:tc>
        <w:tc>
          <w:tcPr>
            <w:tcW w:w="789" w:type="dxa"/>
          </w:tcPr>
          <w:p w14:paraId="30690FB7" w14:textId="0C655CFB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498CBFC3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7A58557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0070637E" w14:textId="77777777" w:rsidTr="00E81962">
        <w:trPr>
          <w:trHeight w:val="230"/>
        </w:trPr>
        <w:tc>
          <w:tcPr>
            <w:tcW w:w="4957" w:type="dxa"/>
          </w:tcPr>
          <w:p w14:paraId="51EFC685" w14:textId="27ACC73A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8. Ecuaţii diferenţiale de ordin superior</w:t>
            </w:r>
            <w:r w:rsidRPr="00D5121D">
              <w:rPr>
                <w:sz w:val="20"/>
                <w:szCs w:val="20"/>
                <w:lang w:val="ro-RO"/>
              </w:rPr>
              <w:t>, liniare, cu coeficienţi constanţi omogene și neomogene.</w:t>
            </w:r>
          </w:p>
        </w:tc>
        <w:tc>
          <w:tcPr>
            <w:tcW w:w="789" w:type="dxa"/>
          </w:tcPr>
          <w:p w14:paraId="769FB39B" w14:textId="2A63BED5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67BA3299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6D3409FF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763A4187" w14:textId="77777777" w:rsidTr="00E81962">
        <w:trPr>
          <w:trHeight w:val="230"/>
        </w:trPr>
        <w:tc>
          <w:tcPr>
            <w:tcW w:w="4957" w:type="dxa"/>
          </w:tcPr>
          <w:p w14:paraId="4F9CC526" w14:textId="77777777" w:rsidR="00BC69C0" w:rsidRPr="00BC69C0" w:rsidRDefault="00BC69C0" w:rsidP="00BC69C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9. Calcul integral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(1)</w:t>
            </w:r>
          </w:p>
          <w:p w14:paraId="1D5CF05B" w14:textId="4C441F7E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Integrale cu parametru. Integrale improprii.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5121D">
              <w:rPr>
                <w:sz w:val="20"/>
                <w:szCs w:val="20"/>
                <w:lang w:val="ro-RO"/>
              </w:rPr>
              <w:t>Integrale curbilinii.</w:t>
            </w:r>
          </w:p>
        </w:tc>
        <w:tc>
          <w:tcPr>
            <w:tcW w:w="789" w:type="dxa"/>
          </w:tcPr>
          <w:p w14:paraId="117DA316" w14:textId="6C78F2B2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1BE6362C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69B8EBC8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64A43F50" w14:textId="77777777" w:rsidTr="00E81962">
        <w:trPr>
          <w:trHeight w:val="230"/>
        </w:trPr>
        <w:tc>
          <w:tcPr>
            <w:tcW w:w="4957" w:type="dxa"/>
          </w:tcPr>
          <w:p w14:paraId="77039344" w14:textId="77777777" w:rsidR="00BC69C0" w:rsidRPr="00BC69C0" w:rsidRDefault="00BC69C0" w:rsidP="00BC69C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10. Calcul integral (2)</w:t>
            </w:r>
          </w:p>
          <w:p w14:paraId="7662F98E" w14:textId="5F359A9A" w:rsidR="00BC69C0" w:rsidRPr="00675224" w:rsidRDefault="00BC69C0" w:rsidP="00BC69C0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Integrale duble. Integrale triple.Formule integrale</w:t>
            </w:r>
          </w:p>
        </w:tc>
        <w:tc>
          <w:tcPr>
            <w:tcW w:w="789" w:type="dxa"/>
          </w:tcPr>
          <w:p w14:paraId="4E0CAEB4" w14:textId="2678EC60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5796FB71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563905E6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B81A2B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0232109" w14:textId="4A1392FE" w:rsidR="00BC69C0" w:rsidRPr="00BC69C0" w:rsidRDefault="00BC69C0" w:rsidP="00BC69C0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D5121D">
              <w:rPr>
                <w:i/>
                <w:sz w:val="20"/>
                <w:szCs w:val="20"/>
                <w:lang w:val="ro-RO"/>
              </w:rPr>
              <w:t>Chiteș,C. Miculescu,R.</w:t>
            </w:r>
            <w:r w:rsidRPr="00D5121D">
              <w:rPr>
                <w:sz w:val="20"/>
                <w:szCs w:val="20"/>
                <w:lang w:val="ro-RO"/>
              </w:rPr>
              <w:t xml:space="preserve"> - Analiză matematică. Culegere de exerciții și probleme, Pro Universitaria, 2017</w:t>
            </w:r>
          </w:p>
          <w:p w14:paraId="60DBD945" w14:textId="1FF42F48" w:rsidR="000017E7" w:rsidRPr="00BC69C0" w:rsidRDefault="00BC69C0" w:rsidP="00BC69C0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BC69C0">
              <w:rPr>
                <w:i/>
                <w:sz w:val="20"/>
                <w:szCs w:val="20"/>
                <w:lang w:val="ro-RO"/>
              </w:rPr>
              <w:t>Nicolescu,M</w:t>
            </w:r>
            <w:r w:rsidRPr="00BC69C0">
              <w:rPr>
                <w:sz w:val="20"/>
                <w:szCs w:val="20"/>
                <w:lang w:val="ro-RO"/>
              </w:rPr>
              <w:t xml:space="preserve"> – Analiză matematică, EDP,Buc.,1971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BC69C0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lastRenderedPageBreak/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BC69C0" w:rsidRPr="00675224" w14:paraId="54A2112F" w14:textId="77777777" w:rsidTr="00BC69C0">
        <w:trPr>
          <w:trHeight w:val="244"/>
        </w:trPr>
        <w:tc>
          <w:tcPr>
            <w:tcW w:w="1490" w:type="dxa"/>
          </w:tcPr>
          <w:p w14:paraId="65521031" w14:textId="77777777" w:rsidR="00BC69C0" w:rsidRPr="00675224" w:rsidRDefault="00BC69C0" w:rsidP="00BC69C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0AFFBE13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Sunt urmărite corectitudinea şi completitudinea cunoştinţelor, coerenţa logică, gradul de asimilare al limbajului de specialitate.</w:t>
            </w:r>
          </w:p>
        </w:tc>
        <w:tc>
          <w:tcPr>
            <w:tcW w:w="2405" w:type="dxa"/>
          </w:tcPr>
          <w:p w14:paraId="04BD79B8" w14:textId="102B9694" w:rsidR="00BC69C0" w:rsidRPr="00675224" w:rsidRDefault="00BC69C0" w:rsidP="00BC69C0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D5121D">
              <w:rPr>
                <w:bCs/>
                <w:sz w:val="20"/>
                <w:szCs w:val="20"/>
                <w:lang w:val="ro-RO"/>
              </w:rPr>
              <w:t>Examen scris care se finalizează printr-o verificare orală a gradului de îndeplinire a cerințelor din lucrarea scrisă</w:t>
            </w:r>
          </w:p>
        </w:tc>
        <w:tc>
          <w:tcPr>
            <w:tcW w:w="1558" w:type="dxa"/>
            <w:vAlign w:val="center"/>
          </w:tcPr>
          <w:p w14:paraId="73F3376C" w14:textId="733C5DAA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60%</w:t>
            </w:r>
          </w:p>
        </w:tc>
      </w:tr>
      <w:tr w:rsidR="00BC69C0" w:rsidRPr="00675224" w14:paraId="556B19F5" w14:textId="77777777" w:rsidTr="00BC69C0">
        <w:trPr>
          <w:trHeight w:val="246"/>
        </w:trPr>
        <w:tc>
          <w:tcPr>
            <w:tcW w:w="1490" w:type="dxa"/>
          </w:tcPr>
          <w:p w14:paraId="687A2817" w14:textId="77777777" w:rsidR="00BC69C0" w:rsidRPr="00675224" w:rsidRDefault="00BC69C0" w:rsidP="00BC69C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6DE241E9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Participarea activă din timpul seminariilor. Se urmăreşte capacitatea de a opera cu cunoştinţele asimilate; aspecte atitudinale: conştiinciozitate, interes pentru studiul individual.</w:t>
            </w:r>
          </w:p>
        </w:tc>
        <w:tc>
          <w:tcPr>
            <w:tcW w:w="2405" w:type="dxa"/>
            <w:vAlign w:val="center"/>
          </w:tcPr>
          <w:p w14:paraId="6DE6CF3C" w14:textId="1C076AED" w:rsidR="00BC69C0" w:rsidRPr="00675224" w:rsidRDefault="00BC69C0" w:rsidP="00BC69C0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D5121D">
              <w:rPr>
                <w:bCs/>
                <w:color w:val="000000"/>
                <w:sz w:val="20"/>
                <w:szCs w:val="20"/>
                <w:lang w:val="ro-RO"/>
              </w:rPr>
              <w:t>Evaluare continuă pe parcursul semestrului (pe baza activităţilor individuale şi de grup desfășurate în cadrul seminariilor)</w:t>
            </w:r>
          </w:p>
        </w:tc>
        <w:tc>
          <w:tcPr>
            <w:tcW w:w="1558" w:type="dxa"/>
            <w:vAlign w:val="center"/>
          </w:tcPr>
          <w:p w14:paraId="4AA92130" w14:textId="639DD37F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40%</w:t>
            </w:r>
          </w:p>
        </w:tc>
      </w:tr>
      <w:tr w:rsidR="000017E7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B12CBF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B81A2B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675224" w14:paraId="72397C28" w14:textId="77777777" w:rsidTr="00BC69C0">
        <w:tc>
          <w:tcPr>
            <w:tcW w:w="955" w:type="pct"/>
            <w:vAlign w:val="center"/>
          </w:tcPr>
          <w:p w14:paraId="0FA547ED" w14:textId="4DF13960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415D7A">
              <w:rPr>
                <w:sz w:val="14"/>
                <w:lang w:val="ro-RO"/>
              </w:rPr>
              <w:t>5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2022" w:type="pct"/>
          </w:tcPr>
          <w:p w14:paraId="4C1DB9D6" w14:textId="2B6F2F7E" w:rsidR="00BC69C0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Lector dr. Marius Marchitan</w:t>
            </w:r>
          </w:p>
          <w:p w14:paraId="52C50FAF" w14:textId="611A6190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5121D">
              <w:rPr>
                <w:lang w:val="ro-RO"/>
              </w:rPr>
              <w:object w:dxaOrig="3809" w:dyaOrig="3974" w14:anchorId="1AC8FC42">
                <v:shape id="_x0000_i1025" type="#_x0000_t75" style="width:23.4pt;height:23.4pt" o:ole="" filled="t">
                  <v:fill color2="black"/>
                  <v:imagedata r:id="rId9" o:title="" croptop="-16f" cropbottom="-16f" cropleft="-17f" cropright="-17f"/>
                </v:shape>
                <o:OLEObject Type="Embed" ProgID="PBrush" ShapeID="_x0000_i1025" DrawAspect="Content" ObjectID="_1824803451" r:id="rId10"/>
              </w:object>
            </w:r>
          </w:p>
        </w:tc>
        <w:tc>
          <w:tcPr>
            <w:tcW w:w="2023" w:type="pct"/>
          </w:tcPr>
          <w:p w14:paraId="086EE112" w14:textId="77777777" w:rsidR="00BC69C0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Lector dr. Marius Marchitan</w:t>
            </w:r>
          </w:p>
          <w:p w14:paraId="6CF79C71" w14:textId="13E97723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5121D">
              <w:rPr>
                <w:lang w:val="ro-RO"/>
              </w:rPr>
              <w:object w:dxaOrig="3809" w:dyaOrig="3974" w14:anchorId="518A05ED">
                <v:shape id="_x0000_i1026" type="#_x0000_t75" style="width:22.2pt;height:23.4pt" o:ole="" filled="t">
                  <v:fill color2="black"/>
                  <v:imagedata r:id="rId9" o:title="" croptop="-16f" cropbottom="-16f" cropleft="-17f" cropright="-17f"/>
                </v:shape>
                <o:OLEObject Type="Embed" ProgID="PBrush" ShapeID="_x0000_i1026" DrawAspect="Content" ObjectID="_1824803452" r:id="rId11"/>
              </w:objec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  <w:bookmarkStart w:id="0" w:name="_Hlk212996846"/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B81A2B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B81A2B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4F58CC30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415D7A">
              <w:rPr>
                <w:sz w:val="14"/>
                <w:lang w:val="ro-RO"/>
              </w:rPr>
              <w:t>5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504F3488" w14:textId="15393EB5" w:rsidR="000017E7" w:rsidRPr="00DF7FBB" w:rsidRDefault="00E23A45" w:rsidP="00E81962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s</w:t>
            </w:r>
            <w:r w:rsidR="00415D7A" w:rsidRPr="00DF7FBB">
              <w:rPr>
                <w:color w:val="000000"/>
                <w:sz w:val="18"/>
                <w:szCs w:val="18"/>
                <w:lang w:val="it-IT"/>
              </w:rPr>
              <w:t>ef lucrări dr. ing. Elena-Daniela LUPU</w:t>
            </w:r>
          </w:p>
          <w:p w14:paraId="165A58DE" w14:textId="7B6C9ED3" w:rsidR="00415D7A" w:rsidRPr="00675224" w:rsidRDefault="00415D7A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  <w:tr w:rsidR="00EA7A21" w:rsidRPr="00B81A2B" w14:paraId="61CDA3B8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AE3C324" w14:textId="77777777" w:rsidR="00EA7A21" w:rsidRDefault="00EA7A21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2EC1F480" w14:textId="77777777" w:rsidR="00EA7A21" w:rsidRPr="00DF7FBB" w:rsidRDefault="00EA7A21" w:rsidP="00E81962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B81A2B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2638083F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415D7A">
              <w:rPr>
                <w:sz w:val="14"/>
                <w:lang w:val="ro-RO"/>
              </w:rPr>
              <w:t>5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390E3F18" w14:textId="77777777" w:rsidR="000017E7" w:rsidRPr="00DF7FBB" w:rsidRDefault="00415D7A" w:rsidP="0041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3CEBABC5" w14:textId="793CCB8B" w:rsidR="00415D7A" w:rsidRPr="00DF7FBB" w:rsidRDefault="00415D7A" w:rsidP="0041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4C5D97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18FE7CED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415D7A">
              <w:rPr>
                <w:sz w:val="14"/>
                <w:lang w:val="ro-RO"/>
              </w:rPr>
              <w:t>6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10009700" w14:textId="77777777" w:rsidR="00415D7A" w:rsidRPr="00DF7FBB" w:rsidRDefault="00415D7A" w:rsidP="0041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43B0F1B3" w14:textId="00427148" w:rsidR="000017E7" w:rsidRPr="00675224" w:rsidRDefault="000017E7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  <w:bookmarkEnd w:id="0"/>
    </w:tbl>
    <w:p w14:paraId="1BB07160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sectPr w:rsidR="00E81962" w:rsidRPr="00E62B60" w:rsidSect="00C64F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82C4" w14:textId="77777777" w:rsidR="005E344E" w:rsidRDefault="005E344E">
      <w:r>
        <w:separator/>
      </w:r>
    </w:p>
  </w:endnote>
  <w:endnote w:type="continuationSeparator" w:id="0">
    <w:p w14:paraId="07B1CDAC" w14:textId="77777777" w:rsidR="005E344E" w:rsidRDefault="005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4AB2" w14:textId="77777777" w:rsidR="005E344E" w:rsidRDefault="005E344E">
      <w:r>
        <w:separator/>
      </w:r>
    </w:p>
  </w:footnote>
  <w:footnote w:type="continuationSeparator" w:id="0">
    <w:p w14:paraId="374BF5C7" w14:textId="77777777" w:rsidR="005E344E" w:rsidRDefault="005E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ro-R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5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6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7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8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9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10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6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230876"/>
    <w:multiLevelType w:val="hybridMultilevel"/>
    <w:tmpl w:val="11A8BE92"/>
    <w:lvl w:ilvl="0" w:tplc="1000000F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2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3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4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5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6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7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8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5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7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9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0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1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2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3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4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5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237398214">
    <w:abstractNumId w:val="6"/>
  </w:num>
  <w:num w:numId="2" w16cid:durableId="697780279">
    <w:abstractNumId w:val="9"/>
  </w:num>
  <w:num w:numId="3" w16cid:durableId="719743689">
    <w:abstractNumId w:val="14"/>
  </w:num>
  <w:num w:numId="4" w16cid:durableId="1344437724">
    <w:abstractNumId w:val="54"/>
  </w:num>
  <w:num w:numId="5" w16cid:durableId="2040617544">
    <w:abstractNumId w:val="40"/>
  </w:num>
  <w:num w:numId="6" w16cid:durableId="1237284698">
    <w:abstractNumId w:val="37"/>
  </w:num>
  <w:num w:numId="7" w16cid:durableId="1844201456">
    <w:abstractNumId w:val="49"/>
  </w:num>
  <w:num w:numId="8" w16cid:durableId="1676879009">
    <w:abstractNumId w:val="8"/>
  </w:num>
  <w:num w:numId="9" w16cid:durableId="247815589">
    <w:abstractNumId w:val="12"/>
  </w:num>
  <w:num w:numId="10" w16cid:durableId="1287468728">
    <w:abstractNumId w:val="19"/>
  </w:num>
  <w:num w:numId="11" w16cid:durableId="1171262186">
    <w:abstractNumId w:val="48"/>
  </w:num>
  <w:num w:numId="12" w16cid:durableId="326716772">
    <w:abstractNumId w:val="17"/>
  </w:num>
  <w:num w:numId="13" w16cid:durableId="1638955260">
    <w:abstractNumId w:val="13"/>
  </w:num>
  <w:num w:numId="14" w16cid:durableId="1243299193">
    <w:abstractNumId w:val="16"/>
  </w:num>
  <w:num w:numId="15" w16cid:durableId="1600673651">
    <w:abstractNumId w:val="2"/>
  </w:num>
  <w:num w:numId="16" w16cid:durableId="1829439321">
    <w:abstractNumId w:val="43"/>
  </w:num>
  <w:num w:numId="17" w16cid:durableId="1180852663">
    <w:abstractNumId w:val="3"/>
  </w:num>
  <w:num w:numId="18" w16cid:durableId="1656184538">
    <w:abstractNumId w:val="20"/>
  </w:num>
  <w:num w:numId="19" w16cid:durableId="1718818624">
    <w:abstractNumId w:val="28"/>
  </w:num>
  <w:num w:numId="20" w16cid:durableId="1657340345">
    <w:abstractNumId w:val="38"/>
  </w:num>
  <w:num w:numId="21" w16cid:durableId="49884231">
    <w:abstractNumId w:val="44"/>
  </w:num>
  <w:num w:numId="22" w16cid:durableId="827745512">
    <w:abstractNumId w:val="18"/>
  </w:num>
  <w:num w:numId="23" w16cid:durableId="1378629679">
    <w:abstractNumId w:val="33"/>
  </w:num>
  <w:num w:numId="24" w16cid:durableId="607734666">
    <w:abstractNumId w:val="35"/>
  </w:num>
  <w:num w:numId="25" w16cid:durableId="457069875">
    <w:abstractNumId w:val="11"/>
  </w:num>
  <w:num w:numId="26" w16cid:durableId="930117109">
    <w:abstractNumId w:val="5"/>
  </w:num>
  <w:num w:numId="27" w16cid:durableId="1804152450">
    <w:abstractNumId w:val="36"/>
  </w:num>
  <w:num w:numId="28" w16cid:durableId="949046700">
    <w:abstractNumId w:val="25"/>
  </w:num>
  <w:num w:numId="29" w16cid:durableId="1222062951">
    <w:abstractNumId w:val="41"/>
  </w:num>
  <w:num w:numId="30" w16cid:durableId="811868524">
    <w:abstractNumId w:val="7"/>
  </w:num>
  <w:num w:numId="31" w16cid:durableId="295531855">
    <w:abstractNumId w:val="31"/>
  </w:num>
  <w:num w:numId="32" w16cid:durableId="867987120">
    <w:abstractNumId w:val="32"/>
  </w:num>
  <w:num w:numId="33" w16cid:durableId="1742604855">
    <w:abstractNumId w:val="45"/>
  </w:num>
  <w:num w:numId="34" w16cid:durableId="1104113239">
    <w:abstractNumId w:val="51"/>
  </w:num>
  <w:num w:numId="35" w16cid:durableId="409932325">
    <w:abstractNumId w:val="4"/>
  </w:num>
  <w:num w:numId="36" w16cid:durableId="759133225">
    <w:abstractNumId w:val="53"/>
  </w:num>
  <w:num w:numId="37" w16cid:durableId="2036887351">
    <w:abstractNumId w:val="46"/>
  </w:num>
  <w:num w:numId="38" w16cid:durableId="161094276">
    <w:abstractNumId w:val="22"/>
  </w:num>
  <w:num w:numId="39" w16cid:durableId="905072917">
    <w:abstractNumId w:val="39"/>
  </w:num>
  <w:num w:numId="40" w16cid:durableId="364986312">
    <w:abstractNumId w:val="42"/>
  </w:num>
  <w:num w:numId="41" w16cid:durableId="633026107">
    <w:abstractNumId w:val="52"/>
  </w:num>
  <w:num w:numId="42" w16cid:durableId="1252009623">
    <w:abstractNumId w:val="23"/>
  </w:num>
  <w:num w:numId="43" w16cid:durableId="635765821">
    <w:abstractNumId w:val="34"/>
  </w:num>
  <w:num w:numId="44" w16cid:durableId="774640549">
    <w:abstractNumId w:val="50"/>
  </w:num>
  <w:num w:numId="45" w16cid:durableId="1495414559">
    <w:abstractNumId w:val="21"/>
  </w:num>
  <w:num w:numId="46" w16cid:durableId="1094670085">
    <w:abstractNumId w:val="26"/>
  </w:num>
  <w:num w:numId="47" w16cid:durableId="1141574235">
    <w:abstractNumId w:val="29"/>
  </w:num>
  <w:num w:numId="48" w16cid:durableId="37363547">
    <w:abstractNumId w:val="30"/>
  </w:num>
  <w:num w:numId="49" w16cid:durableId="251666264">
    <w:abstractNumId w:val="10"/>
  </w:num>
  <w:num w:numId="50" w16cid:durableId="1290432306">
    <w:abstractNumId w:val="55"/>
  </w:num>
  <w:num w:numId="51" w16cid:durableId="726420029">
    <w:abstractNumId w:val="15"/>
  </w:num>
  <w:num w:numId="52" w16cid:durableId="2116514767">
    <w:abstractNumId w:val="24"/>
  </w:num>
  <w:num w:numId="53" w16cid:durableId="1214922108">
    <w:abstractNumId w:val="47"/>
  </w:num>
  <w:num w:numId="54" w16cid:durableId="1989557169">
    <w:abstractNumId w:val="1"/>
  </w:num>
  <w:num w:numId="55" w16cid:durableId="703481887">
    <w:abstractNumId w:val="27"/>
  </w:num>
  <w:num w:numId="56" w16cid:durableId="1131705913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A003A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4D97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E5FC3"/>
    <w:rsid w:val="001F0D75"/>
    <w:rsid w:val="001F142C"/>
    <w:rsid w:val="0020282B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86D34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1EB9"/>
    <w:rsid w:val="003A525B"/>
    <w:rsid w:val="003A676C"/>
    <w:rsid w:val="003C3A31"/>
    <w:rsid w:val="003C726C"/>
    <w:rsid w:val="003C751A"/>
    <w:rsid w:val="003E0852"/>
    <w:rsid w:val="003E4808"/>
    <w:rsid w:val="00415D7A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B54"/>
    <w:rsid w:val="004B3B9E"/>
    <w:rsid w:val="004B5CCE"/>
    <w:rsid w:val="004B7DA1"/>
    <w:rsid w:val="004C5D97"/>
    <w:rsid w:val="004D0F3D"/>
    <w:rsid w:val="004E28E8"/>
    <w:rsid w:val="004F1C38"/>
    <w:rsid w:val="004F5C00"/>
    <w:rsid w:val="00511B53"/>
    <w:rsid w:val="00516847"/>
    <w:rsid w:val="005173CE"/>
    <w:rsid w:val="0053032A"/>
    <w:rsid w:val="0053667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04FA"/>
    <w:rsid w:val="00572097"/>
    <w:rsid w:val="005817D6"/>
    <w:rsid w:val="005821BB"/>
    <w:rsid w:val="00582EBA"/>
    <w:rsid w:val="0059011C"/>
    <w:rsid w:val="00593178"/>
    <w:rsid w:val="005953C4"/>
    <w:rsid w:val="005970DC"/>
    <w:rsid w:val="005B166A"/>
    <w:rsid w:val="005B30F7"/>
    <w:rsid w:val="005B7818"/>
    <w:rsid w:val="005C5297"/>
    <w:rsid w:val="005D04CB"/>
    <w:rsid w:val="005D0C90"/>
    <w:rsid w:val="005E344E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1235"/>
    <w:rsid w:val="00682CB1"/>
    <w:rsid w:val="00684E3C"/>
    <w:rsid w:val="00685555"/>
    <w:rsid w:val="00686803"/>
    <w:rsid w:val="0069308E"/>
    <w:rsid w:val="006C4E70"/>
    <w:rsid w:val="006C6D68"/>
    <w:rsid w:val="006C7CAF"/>
    <w:rsid w:val="006C7DCC"/>
    <w:rsid w:val="006D0CF9"/>
    <w:rsid w:val="006D3A99"/>
    <w:rsid w:val="006F68D9"/>
    <w:rsid w:val="006F6966"/>
    <w:rsid w:val="00711846"/>
    <w:rsid w:val="00713207"/>
    <w:rsid w:val="00715EB3"/>
    <w:rsid w:val="00721B7E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7F0EC0"/>
    <w:rsid w:val="00800E52"/>
    <w:rsid w:val="00804AFB"/>
    <w:rsid w:val="00812758"/>
    <w:rsid w:val="0081281F"/>
    <w:rsid w:val="00826B4D"/>
    <w:rsid w:val="0083503B"/>
    <w:rsid w:val="0083639A"/>
    <w:rsid w:val="00841273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B2944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76E32"/>
    <w:rsid w:val="00981DD6"/>
    <w:rsid w:val="00983E2F"/>
    <w:rsid w:val="00986269"/>
    <w:rsid w:val="00986943"/>
    <w:rsid w:val="00995A34"/>
    <w:rsid w:val="009A0572"/>
    <w:rsid w:val="009A31D2"/>
    <w:rsid w:val="009A36B1"/>
    <w:rsid w:val="009A4AF8"/>
    <w:rsid w:val="009B31BB"/>
    <w:rsid w:val="009B4422"/>
    <w:rsid w:val="009B5D30"/>
    <w:rsid w:val="009C7F29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E4B2B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81A2B"/>
    <w:rsid w:val="00B900CA"/>
    <w:rsid w:val="00BB347E"/>
    <w:rsid w:val="00BC69C0"/>
    <w:rsid w:val="00BD0F22"/>
    <w:rsid w:val="00BD32EE"/>
    <w:rsid w:val="00C00D38"/>
    <w:rsid w:val="00C05601"/>
    <w:rsid w:val="00C05AC4"/>
    <w:rsid w:val="00C062B2"/>
    <w:rsid w:val="00C1108C"/>
    <w:rsid w:val="00C11698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31ED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E72D0"/>
    <w:rsid w:val="00CF1281"/>
    <w:rsid w:val="00CF6855"/>
    <w:rsid w:val="00D004A2"/>
    <w:rsid w:val="00D00FFA"/>
    <w:rsid w:val="00D0302C"/>
    <w:rsid w:val="00D03AAE"/>
    <w:rsid w:val="00D04C18"/>
    <w:rsid w:val="00D04E9B"/>
    <w:rsid w:val="00D05C22"/>
    <w:rsid w:val="00D05D40"/>
    <w:rsid w:val="00D1056B"/>
    <w:rsid w:val="00D12AC5"/>
    <w:rsid w:val="00D13FB5"/>
    <w:rsid w:val="00D219A8"/>
    <w:rsid w:val="00D26077"/>
    <w:rsid w:val="00D26E09"/>
    <w:rsid w:val="00D37030"/>
    <w:rsid w:val="00D40BCC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DF7FBB"/>
    <w:rsid w:val="00E23A45"/>
    <w:rsid w:val="00E31285"/>
    <w:rsid w:val="00E33F0F"/>
    <w:rsid w:val="00E35097"/>
    <w:rsid w:val="00E46B78"/>
    <w:rsid w:val="00E56F68"/>
    <w:rsid w:val="00E621A9"/>
    <w:rsid w:val="00E62B60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A7A21"/>
    <w:rsid w:val="00EC1EF1"/>
    <w:rsid w:val="00EC7AC7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character" w:customStyle="1" w:styleId="WW8Num1z5">
    <w:name w:val="WW8Num1z5"/>
    <w:rsid w:val="00C9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33</cp:revision>
  <dcterms:created xsi:type="dcterms:W3CDTF">2025-07-19T17:54:00Z</dcterms:created>
  <dcterms:modified xsi:type="dcterms:W3CDTF">2025-11-16T11:04:00Z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